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41E3BE8B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 xml:space="preserve">Allegato 5 alla delibera </w:t>
      </w:r>
      <w:r w:rsidR="00B6251F">
        <w:rPr>
          <w:rFonts w:ascii="Garamond" w:hAnsi="Garamond"/>
          <w:b/>
        </w:rPr>
        <w:t xml:space="preserve">ANAC </w:t>
      </w:r>
      <w:r w:rsidRPr="005E2A50">
        <w:rPr>
          <w:rFonts w:ascii="Garamond" w:hAnsi="Garamond"/>
          <w:b/>
          <w:sz w:val="24"/>
          <w:szCs w:val="24"/>
        </w:rPr>
        <w:t xml:space="preserve">n. </w:t>
      </w:r>
      <w:r w:rsidR="00767297">
        <w:rPr>
          <w:rFonts w:ascii="Garamond" w:hAnsi="Garamond"/>
          <w:b/>
          <w:sz w:val="24"/>
          <w:szCs w:val="24"/>
        </w:rPr>
        <w:t>213/</w:t>
      </w:r>
      <w:bookmarkStart w:id="0" w:name="_GoBack"/>
      <w:bookmarkEnd w:id="0"/>
      <w:r w:rsidRPr="005E2A50">
        <w:rPr>
          <w:rFonts w:ascii="Garamond" w:hAnsi="Garamond"/>
          <w:b/>
          <w:sz w:val="24"/>
          <w:szCs w:val="24"/>
        </w:rPr>
        <w:t>20</w:t>
      </w:r>
      <w:r w:rsidR="00074765">
        <w:rPr>
          <w:rFonts w:ascii="Garamond" w:hAnsi="Garamond"/>
          <w:b/>
          <w:sz w:val="24"/>
          <w:szCs w:val="24"/>
        </w:rPr>
        <w:t>20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767297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767297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 xml:space="preserve">l’esattezza </w:t>
      </w:r>
      <w:r w:rsidR="00E812D1" w:rsidRPr="001C1305">
        <w:rPr>
          <w:rFonts w:ascii="Garamond" w:hAnsi="Garamond"/>
          <w:sz w:val="24"/>
          <w:szCs w:val="24"/>
        </w:rPr>
        <w:t>essa</w:t>
      </w:r>
      <w:r w:rsidR="00E812D1" w:rsidRPr="00A83E4A">
        <w:rPr>
          <w:rFonts w:ascii="Garamond" w:hAnsi="Garamond"/>
          <w:sz w:val="24"/>
          <w:szCs w:val="24"/>
        </w:rPr>
        <w:t xml:space="preserve">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</w:t>
      </w:r>
      <w:r w:rsidR="0075401B" w:rsidRPr="001C1305">
        <w:rPr>
          <w:rFonts w:ascii="Garamond" w:hAnsi="Garamond"/>
          <w:i/>
          <w:sz w:val="24"/>
          <w:szCs w:val="24"/>
        </w:rPr>
        <w:t>Amministrazione Trasparente</w:t>
      </w:r>
      <w:r w:rsidR="0075401B" w:rsidRPr="00A83E4A">
        <w:rPr>
          <w:rFonts w:ascii="Garamond" w:hAnsi="Garamond"/>
          <w:sz w:val="24"/>
          <w:szCs w:val="24"/>
        </w:rPr>
        <w:t>” dell’amministrazione centrale conducano alle sezioni “</w:t>
      </w:r>
      <w:r w:rsidR="0075401B" w:rsidRPr="001C1305">
        <w:rPr>
          <w:rFonts w:ascii="Garamond" w:hAnsi="Garamond"/>
          <w:i/>
          <w:sz w:val="24"/>
          <w:szCs w:val="24"/>
        </w:rPr>
        <w:t>Amm</w:t>
      </w:r>
      <w:r w:rsidR="0019190F" w:rsidRPr="001C1305">
        <w:rPr>
          <w:rFonts w:ascii="Garamond" w:hAnsi="Garamond"/>
          <w:i/>
          <w:sz w:val="24"/>
          <w:szCs w:val="24"/>
        </w:rPr>
        <w:t>inistrazione Trasparente</w:t>
      </w:r>
      <w:r w:rsidR="0019190F" w:rsidRPr="00A83E4A">
        <w:rPr>
          <w:rFonts w:ascii="Garamond" w:hAnsi="Garamond"/>
          <w:sz w:val="24"/>
          <w:szCs w:val="24"/>
        </w:rPr>
        <w:t>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2A6A8B30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 xml:space="preserve"> è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invece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>e “</w:t>
      </w:r>
      <w:r w:rsidR="009A1ED5" w:rsidRPr="001C1305">
        <w:rPr>
          <w:rFonts w:ascii="Garamond" w:hAnsi="Garamond"/>
          <w:i/>
          <w:sz w:val="24"/>
          <w:szCs w:val="24"/>
        </w:rPr>
        <w:t>Amministrazione Trasparente</w:t>
      </w:r>
      <w:r w:rsidR="009A1ED5" w:rsidRPr="00A83E4A">
        <w:rPr>
          <w:rFonts w:ascii="Garamond" w:hAnsi="Garamond"/>
          <w:sz w:val="24"/>
          <w:szCs w:val="24"/>
        </w:rPr>
        <w:t xml:space="preserve">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4D38EF94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 dell’amministrazione conducano alle sezioni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 xml:space="preserve">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</w:t>
      </w:r>
      <w:r w:rsidR="001C1305">
        <w:rPr>
          <w:rFonts w:ascii="Garamond" w:hAnsi="Garamond"/>
          <w:sz w:val="24"/>
          <w:szCs w:val="24"/>
        </w:rPr>
        <w:t xml:space="preserve">, nell’unica sezione principale </w:t>
      </w:r>
      <w:r w:rsidR="00316D15" w:rsidRPr="00A83E4A">
        <w:rPr>
          <w:rFonts w:ascii="Garamond" w:hAnsi="Garamond"/>
          <w:sz w:val="24"/>
          <w:szCs w:val="24"/>
        </w:rPr>
        <w:t>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</w:t>
      </w:r>
      <w:r w:rsidR="001C1305">
        <w:rPr>
          <w:rFonts w:ascii="Garamond" w:hAnsi="Garamond"/>
          <w:sz w:val="24"/>
          <w:szCs w:val="24"/>
        </w:rPr>
        <w:t>.</w:t>
      </w:r>
      <w:r w:rsidR="00BE6D38" w:rsidRPr="00A83E4A">
        <w:rPr>
          <w:rFonts w:ascii="Garamond" w:hAnsi="Garamond"/>
          <w:sz w:val="24"/>
          <w:szCs w:val="24"/>
        </w:rPr>
        <w:t xml:space="preserve"> </w:t>
      </w:r>
      <w:r w:rsidR="00BE6D38" w:rsidRPr="00A83E4A">
        <w:rPr>
          <w:rFonts w:ascii="Garamond" w:hAnsi="Garamond"/>
          <w:sz w:val="24"/>
          <w:szCs w:val="24"/>
        </w:rPr>
        <w:lastRenderedPageBreak/>
        <w:t>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lastRenderedPageBreak/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</w:t>
      </w:r>
      <w:r w:rsidR="002A0393" w:rsidRPr="00A83E4A">
        <w:rPr>
          <w:rFonts w:ascii="Garamond" w:hAnsi="Garamond"/>
          <w:sz w:val="24"/>
          <w:szCs w:val="24"/>
        </w:rPr>
        <w:lastRenderedPageBreak/>
        <w:t xml:space="preserve">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8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86B6D" w14:textId="77777777" w:rsidR="00A91C2A" w:rsidRDefault="00A91C2A" w:rsidP="00ED2D6B">
      <w:pPr>
        <w:spacing w:after="0" w:line="240" w:lineRule="auto"/>
      </w:pPr>
      <w:r>
        <w:separator/>
      </w:r>
    </w:p>
  </w:endnote>
  <w:endnote w:type="continuationSeparator" w:id="0">
    <w:p w14:paraId="42D63206" w14:textId="77777777" w:rsidR="00A91C2A" w:rsidRDefault="00A91C2A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41C6" w14:textId="6C8FB745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767297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2BE0" w14:textId="77777777" w:rsidR="00A91C2A" w:rsidRDefault="00A91C2A" w:rsidP="00ED2D6B">
      <w:pPr>
        <w:spacing w:after="0" w:line="240" w:lineRule="auto"/>
      </w:pPr>
      <w:r>
        <w:separator/>
      </w:r>
    </w:p>
  </w:footnote>
  <w:footnote w:type="continuationSeparator" w:id="0">
    <w:p w14:paraId="5FD72BD9" w14:textId="77777777" w:rsidR="00A91C2A" w:rsidRDefault="00A91C2A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  <w15:docId w15:val="{EC190222-8795-4ECD-BEB9-0546985F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67288ART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3E43-1F13-4509-B074-4A874C85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Adami Paola</cp:lastModifiedBy>
  <cp:revision>13</cp:revision>
  <cp:lastPrinted>2013-07-05T07:43:00Z</cp:lastPrinted>
  <dcterms:created xsi:type="dcterms:W3CDTF">2019-02-25T10:36:00Z</dcterms:created>
  <dcterms:modified xsi:type="dcterms:W3CDTF">2020-03-06T13:54:00Z</dcterms:modified>
</cp:coreProperties>
</file>